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209D70">
      <w:pPr>
        <w:pStyle w:val="4"/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第二节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维护生态安全</w:t>
      </w:r>
    </w:p>
    <w:p w14:paraId="2744A66F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39" name="素养目标.jpg" descr="id:214748821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素养目标.jpg" descr="id:2147488210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B1B483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生命观念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理解生态安全的概念及其对国家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个人的重要意义</w:t>
      </w:r>
      <w:r>
        <w:rPr>
          <w:rFonts w:ascii="宋体" w:hAnsi="宋体" w:eastAsia="宋体"/>
          <w:sz w:val="28"/>
          <w:szCs w:val="28"/>
        </w:rPr>
        <w:t>。</w:t>
      </w:r>
    </w:p>
    <w:p w14:paraId="2F66C44E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科学思维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辩证看待经济发展与生态保护的关系</w:t>
      </w:r>
      <w:r>
        <w:rPr>
          <w:rFonts w:ascii="宋体" w:hAnsi="宋体" w:eastAsia="宋体"/>
          <w:sz w:val="28"/>
          <w:szCs w:val="28"/>
        </w:rPr>
        <w:t>。</w:t>
      </w:r>
    </w:p>
    <w:p w14:paraId="1485BF74">
      <w:pPr>
        <w:overflowPunct w:val="0"/>
        <w:snapToGrid w:val="0"/>
        <w:spacing w:line="360" w:lineRule="auto"/>
      </w:pPr>
      <w:r>
        <w:rPr>
          <w:sz w:val="28"/>
          <w:szCs w:val="28"/>
        </w:rPr>
        <w:t>3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探究实践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能设计简单的生态环境保护行动计划</w:t>
      </w:r>
      <w:r>
        <w:rPr>
          <w:rFonts w:ascii="宋体" w:hAnsi="宋体" w:eastAsia="宋体"/>
          <w:sz w:val="28"/>
          <w:szCs w:val="28"/>
        </w:rPr>
        <w:t>。</w:t>
      </w:r>
    </w:p>
    <w:p w14:paraId="6A0E73D2">
      <w:pPr>
        <w:overflowPunct w:val="0"/>
        <w:snapToGrid w:val="0"/>
        <w:spacing w:line="360" w:lineRule="auto"/>
      </w:pPr>
      <w:r>
        <w:rPr>
          <w:sz w:val="28"/>
          <w:szCs w:val="28"/>
        </w:rPr>
        <w:t>4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态度责任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树立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/>
          <w:sz w:val="28"/>
          <w:szCs w:val="28"/>
        </w:rPr>
        <w:t>人与自然和谐共生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/>
          <w:sz w:val="28"/>
          <w:szCs w:val="28"/>
        </w:rPr>
        <w:t>的生态观</w:t>
      </w:r>
      <w:r>
        <w:rPr>
          <w:rFonts w:ascii="宋体" w:hAnsi="宋体" w:eastAsia="宋体"/>
          <w:sz w:val="28"/>
          <w:szCs w:val="28"/>
        </w:rPr>
        <w:t>。</w:t>
      </w:r>
    </w:p>
    <w:p w14:paraId="477E1F59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334135" cy="225425"/>
            <wp:effectExtent l="0" t="0" r="18415" b="3175"/>
            <wp:docPr id="140" name="教学重难点.jpg" descr="id:214748821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教学重难点.jpg" descr="id:214748821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4516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856DED">
      <w:pPr>
        <w:overflowPunct w:val="0"/>
        <w:snapToGrid w:val="0"/>
        <w:spacing w:line="360" w:lineRule="auto"/>
      </w:pPr>
      <w:r>
        <w:rPr>
          <w:sz w:val="28"/>
          <w:szCs w:val="28"/>
        </w:rPr>
        <w:t>1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教学重点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生态安全的概念及长江禁渔的生态学意义</w:t>
      </w:r>
      <w:r>
        <w:rPr>
          <w:rFonts w:ascii="宋体" w:hAnsi="宋体" w:eastAsia="宋体"/>
          <w:sz w:val="28"/>
          <w:szCs w:val="28"/>
        </w:rPr>
        <w:t>。</w:t>
      </w:r>
    </w:p>
    <w:p w14:paraId="35D6F9B6">
      <w:pPr>
        <w:overflowPunct w:val="0"/>
        <w:snapToGrid w:val="0"/>
        <w:spacing w:line="360" w:lineRule="auto"/>
      </w:pPr>
      <w:r>
        <w:rPr>
          <w:sz w:val="28"/>
          <w:szCs w:val="28"/>
        </w:rPr>
        <w:t>2</w:t>
      </w:r>
      <w:r>
        <w:rPr>
          <w:rFonts w:ascii="宋体" w:hAnsi="宋体" w:eastAsia="宋体"/>
          <w:sz w:val="28"/>
          <w:szCs w:val="28"/>
        </w:rPr>
        <w:t>.</w:t>
      </w:r>
      <w:r>
        <w:rPr>
          <w:rFonts w:eastAsia="黑体"/>
          <w:sz w:val="28"/>
          <w:szCs w:val="28"/>
        </w:rPr>
        <w:t>教学难点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理解</w:t>
      </w:r>
      <w:r>
        <w:rPr>
          <w:rFonts w:ascii="宋体" w:hAnsi="宋体" w:eastAsia="宋体"/>
          <w:sz w:val="28"/>
          <w:szCs w:val="28"/>
        </w:rPr>
        <w:t>“</w:t>
      </w:r>
      <w:r>
        <w:rPr>
          <w:rFonts w:hint="eastAsia"/>
          <w:sz w:val="28"/>
          <w:szCs w:val="28"/>
        </w:rPr>
        <w:t>山水林田湖草沙生命共同体</w:t>
      </w:r>
      <w:r>
        <w:rPr>
          <w:rFonts w:ascii="宋体" w:hAnsi="宋体" w:eastAsia="宋体"/>
          <w:sz w:val="28"/>
          <w:szCs w:val="28"/>
        </w:rPr>
        <w:t>”</w:t>
      </w:r>
      <w:r>
        <w:rPr>
          <w:rFonts w:hint="eastAsia"/>
          <w:sz w:val="28"/>
          <w:szCs w:val="28"/>
        </w:rPr>
        <w:t>的系统观</w:t>
      </w:r>
      <w:r>
        <w:rPr>
          <w:rFonts w:ascii="宋体" w:hAnsi="宋体" w:eastAsia="宋体"/>
          <w:sz w:val="28"/>
          <w:szCs w:val="28"/>
        </w:rPr>
        <w:t>。</w:t>
      </w:r>
    </w:p>
    <w:p w14:paraId="13368214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41" name="教学过程.jpg" descr="id:214748822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教学过程.jpg" descr="id:214748822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2"/>
        <w:tblW w:w="5000" w:type="pct"/>
        <w:jc w:val="center"/>
        <w:tblBorders>
          <w:top w:val="single" w:color="FF00FF" w:sz="0" w:space="0"/>
          <w:left w:val="single" w:color="FF00FF" w:sz="0" w:space="0"/>
          <w:bottom w:val="single" w:color="FF00FF" w:sz="0" w:space="0"/>
          <w:right w:val="single" w:color="FF00FF" w:sz="0" w:space="0"/>
          <w:insideH w:val="single" w:color="FF00FF" w:sz="0" w:space="0"/>
          <w:insideV w:val="single" w:color="FF00FF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4673"/>
        <w:gridCol w:w="2962"/>
      </w:tblGrid>
      <w:tr w14:paraId="6B23EB6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162325C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教学环节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5D6D9949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教师活动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509E7CBB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黑体"/>
                <w:sz w:val="28"/>
                <w:szCs w:val="28"/>
              </w:rPr>
              <w:t>学生活动</w:t>
            </w:r>
          </w:p>
        </w:tc>
      </w:tr>
      <w:tr w14:paraId="0EA3A4FC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5C0A7D3F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情境导入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1973C7F6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播放长江江豚群跃视频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hAnsi="楷体" w:eastAsia="楷体"/>
                <w:sz w:val="28"/>
                <w:szCs w:val="28"/>
              </w:rPr>
              <w:t>“</w:t>
            </w:r>
            <w:r>
              <w:rPr>
                <w:rFonts w:eastAsia="楷体"/>
                <w:sz w:val="28"/>
                <w:szCs w:val="28"/>
              </w:rPr>
              <w:t>为什么</w:t>
            </w:r>
            <w:r>
              <w:rPr>
                <w:rFonts w:hAnsi="楷体" w:eastAsia="楷体"/>
                <w:sz w:val="28"/>
                <w:szCs w:val="28"/>
              </w:rPr>
              <w:t>‘</w:t>
            </w:r>
            <w:r>
              <w:rPr>
                <w:rFonts w:eastAsia="楷体"/>
                <w:sz w:val="28"/>
                <w:szCs w:val="28"/>
              </w:rPr>
              <w:t>水中大熊猫</w:t>
            </w:r>
            <w:r>
              <w:rPr>
                <w:rFonts w:hAnsi="楷体" w:eastAsia="楷体"/>
                <w:sz w:val="28"/>
                <w:szCs w:val="28"/>
              </w:rPr>
              <w:t>’</w:t>
            </w:r>
            <w:r>
              <w:rPr>
                <w:rFonts w:eastAsia="楷体"/>
                <w:sz w:val="28"/>
                <w:szCs w:val="28"/>
              </w:rPr>
              <w:t>能重现长江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hAnsi="楷体" w:eastAsia="楷体"/>
                <w:sz w:val="28"/>
                <w:szCs w:val="28"/>
              </w:rPr>
              <w:t>”</w:t>
            </w:r>
          </w:p>
          <w:p w14:paraId="09CAD554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展示数据对比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禁渔前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2020</w:t>
            </w:r>
            <w:r>
              <w:rPr>
                <w:rFonts w:eastAsia="楷体"/>
                <w:sz w:val="28"/>
                <w:szCs w:val="28"/>
              </w:rPr>
              <w:t>年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sz w:val="28"/>
                <w:szCs w:val="28"/>
              </w:rPr>
              <w:t>VS</w:t>
            </w:r>
            <w:r>
              <w:rPr>
                <w:rFonts w:eastAsia="楷体"/>
                <w:sz w:val="28"/>
                <w:szCs w:val="28"/>
              </w:rPr>
              <w:t>禁渔后</w:t>
            </w:r>
            <w:r>
              <w:rPr>
                <w:rFonts w:ascii="宋体" w:hAnsi="宋体" w:eastAsia="宋体"/>
                <w:sz w:val="28"/>
                <w:szCs w:val="28"/>
              </w:rPr>
              <w:t>（</w:t>
            </w:r>
            <w:r>
              <w:rPr>
                <w:sz w:val="28"/>
                <w:szCs w:val="28"/>
              </w:rPr>
              <w:t>2025</w:t>
            </w:r>
            <w:r>
              <w:rPr>
                <w:rFonts w:eastAsia="楷体"/>
                <w:sz w:val="28"/>
                <w:szCs w:val="28"/>
              </w:rPr>
              <w:t>年</w:t>
            </w:r>
            <w:r>
              <w:rPr>
                <w:rFonts w:ascii="宋体" w:hAnsi="宋体" w:eastAsia="宋体"/>
                <w:sz w:val="28"/>
                <w:szCs w:val="28"/>
              </w:rPr>
              <w:t>）</w:t>
            </w:r>
            <w:r>
              <w:rPr>
                <w:rFonts w:eastAsia="楷体"/>
                <w:sz w:val="28"/>
                <w:szCs w:val="28"/>
              </w:rPr>
              <w:t>鱼类资源量。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4566AA6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认真思考并回答问题。</w:t>
            </w:r>
          </w:p>
        </w:tc>
      </w:tr>
      <w:tr w14:paraId="3E3D0A85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36FD052E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新知探究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23BC80F1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探究一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生态安全</w:t>
            </w:r>
          </w:p>
          <w:p w14:paraId="11AB5F1E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1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指导学生阅读教材</w:t>
            </w:r>
            <w:r>
              <w:rPr>
                <w:sz w:val="28"/>
                <w:szCs w:val="28"/>
              </w:rPr>
              <w:t>P110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P111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各种各样的生态系统具有强大的生态系统服务功能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但是也存在生态系统退化、生物多样性减少等问题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生态系统服务功能亟待增强。</w:t>
            </w:r>
          </w:p>
          <w:p w14:paraId="766CB2E6">
            <w:pPr>
              <w:overflowPunct w:val="0"/>
              <w:snapToGrid w:val="0"/>
              <w:spacing w:line="360" w:lineRule="auto"/>
            </w:pPr>
            <w:r>
              <w:rPr>
                <w:sz w:val="28"/>
                <w:szCs w:val="28"/>
              </w:rPr>
              <w:t>2</w:t>
            </w:r>
            <w:r>
              <w:rPr>
                <w:rFonts w:ascii="宋体" w:hAnsi="宋体" w:eastAsia="宋体"/>
                <w:sz w:val="28"/>
                <w:szCs w:val="28"/>
              </w:rPr>
              <w:t>.</w:t>
            </w:r>
            <w:r>
              <w:rPr>
                <w:rFonts w:eastAsia="楷体"/>
                <w:sz w:val="28"/>
                <w:szCs w:val="28"/>
              </w:rPr>
              <w:t>生态安全是指生态系统服务能够支撑经济社会可持续发展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使人类的生存和发展不受生态环境问题威胁的状态与能力。</w:t>
            </w:r>
          </w:p>
          <w:p w14:paraId="431819D1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探究二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维护生态安全的对策</w:t>
            </w:r>
          </w:p>
          <w:p w14:paraId="0EA32EE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指导学生阅读教材</w:t>
            </w:r>
            <w:r>
              <w:rPr>
                <w:sz w:val="28"/>
                <w:szCs w:val="28"/>
              </w:rPr>
              <w:t>P112</w:t>
            </w:r>
            <w:r>
              <w:rPr>
                <w:rFonts w:ascii="宋体" w:hAnsi="宋体" w:eastAsia="宋体"/>
                <w:sz w:val="28"/>
                <w:szCs w:val="28"/>
              </w:rPr>
              <w:t>－</w:t>
            </w:r>
            <w:r>
              <w:rPr>
                <w:sz w:val="28"/>
                <w:szCs w:val="28"/>
              </w:rPr>
              <w:t>P114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了解维护生态安全的重要性和对策。提问</w:t>
            </w:r>
            <w:r>
              <w:rPr>
                <w:rFonts w:ascii="宋体" w:hAnsi="宋体" w:eastAsia="宋体"/>
                <w:sz w:val="28"/>
                <w:szCs w:val="28"/>
              </w:rPr>
              <w:t>：</w:t>
            </w:r>
            <w:r>
              <w:rPr>
                <w:rFonts w:eastAsia="楷体"/>
                <w:sz w:val="28"/>
                <w:szCs w:val="28"/>
              </w:rPr>
              <w:t>为什么要坚持山水林田湖草沙一体化保护与修复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  <w:r>
              <w:rPr>
                <w:rFonts w:eastAsia="楷体"/>
                <w:sz w:val="28"/>
                <w:szCs w:val="28"/>
              </w:rPr>
              <w:t>保护与修复有什么区别</w:t>
            </w:r>
            <w:r>
              <w:rPr>
                <w:rFonts w:ascii="宋体" w:hAnsi="宋体" w:eastAsia="宋体"/>
                <w:sz w:val="28"/>
                <w:szCs w:val="28"/>
              </w:rPr>
              <w:t>？</w:t>
            </w:r>
          </w:p>
          <w:p w14:paraId="254C4FA8">
            <w:pPr>
              <w:overflowPunct w:val="0"/>
              <w:snapToGrid w:val="0"/>
              <w:spacing w:line="360" w:lineRule="auto"/>
            </w:pPr>
            <w:r>
              <w:rPr>
                <w:rFonts w:eastAsia="黑体"/>
                <w:sz w:val="28"/>
                <w:szCs w:val="28"/>
              </w:rPr>
              <w:t>探究三</w:t>
            </w:r>
            <w:r>
              <w:rPr>
                <w:rFonts w:ascii="Times New Roman" w:hAnsi="Times New Roman"/>
                <w:sz w:val="28"/>
                <w:szCs w:val="28"/>
              </w:rPr>
              <w:t>　</w:t>
            </w:r>
            <w:r>
              <w:rPr>
                <w:rFonts w:eastAsia="黑体"/>
                <w:sz w:val="28"/>
                <w:szCs w:val="28"/>
              </w:rPr>
              <w:t>拟订保护生态环境的行动计划</w:t>
            </w:r>
          </w:p>
          <w:p w14:paraId="7B98A8C9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建设和维护良好的生态环境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攸关每个公民的利益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也是每个公民的责任和义务。请你从保护当地生态环境开始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拟订自己的行动计划并付诸实践。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2A900F2C">
            <w:pPr>
              <w:overflowPunct w:val="0"/>
              <w:snapToGrid w:val="0"/>
              <w:spacing w:line="360" w:lineRule="auto"/>
            </w:pPr>
          </w:p>
          <w:p w14:paraId="73A2D10A">
            <w:pPr>
              <w:overflowPunct w:val="0"/>
              <w:snapToGrid w:val="0"/>
              <w:spacing w:line="360" w:lineRule="auto"/>
            </w:pPr>
          </w:p>
          <w:p w14:paraId="483A6677">
            <w:pPr>
              <w:overflowPunct w:val="0"/>
              <w:snapToGrid w:val="0"/>
              <w:spacing w:line="360" w:lineRule="auto"/>
            </w:pPr>
          </w:p>
          <w:p w14:paraId="0379CA90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阅读教材并思考。</w:t>
            </w:r>
          </w:p>
          <w:p w14:paraId="725C95EE">
            <w:pPr>
              <w:overflowPunct w:val="0"/>
              <w:snapToGrid w:val="0"/>
              <w:spacing w:line="360" w:lineRule="auto"/>
            </w:pPr>
          </w:p>
          <w:p w14:paraId="64F0BE53">
            <w:pPr>
              <w:overflowPunct w:val="0"/>
              <w:snapToGrid w:val="0"/>
              <w:spacing w:line="360" w:lineRule="auto"/>
            </w:pPr>
          </w:p>
          <w:p w14:paraId="02C26187">
            <w:pPr>
              <w:overflowPunct w:val="0"/>
              <w:snapToGrid w:val="0"/>
              <w:spacing w:line="360" w:lineRule="auto"/>
            </w:pPr>
          </w:p>
          <w:p w14:paraId="762436A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思考并回答问题。</w:t>
            </w:r>
          </w:p>
          <w:p w14:paraId="6652ABB8">
            <w:pPr>
              <w:overflowPunct w:val="0"/>
              <w:snapToGrid w:val="0"/>
              <w:spacing w:line="360" w:lineRule="auto"/>
            </w:pPr>
          </w:p>
          <w:p w14:paraId="0C92A204">
            <w:pPr>
              <w:overflowPunct w:val="0"/>
              <w:snapToGrid w:val="0"/>
              <w:spacing w:line="360" w:lineRule="auto"/>
            </w:pPr>
          </w:p>
          <w:p w14:paraId="705E23B4">
            <w:pPr>
              <w:overflowPunct w:val="0"/>
              <w:snapToGrid w:val="0"/>
              <w:spacing w:line="360" w:lineRule="auto"/>
            </w:pPr>
          </w:p>
          <w:p w14:paraId="668CAFB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分小组拟订行动计划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并在班级内分享。</w:t>
            </w:r>
          </w:p>
        </w:tc>
      </w:tr>
      <w:tr w14:paraId="4A347E8B">
        <w:tblPrEx>
          <w:tblBorders>
            <w:top w:val="single" w:color="FF00FF" w:sz="0" w:space="0"/>
            <w:left w:val="single" w:color="FF00FF" w:sz="0" w:space="0"/>
            <w:bottom w:val="single" w:color="FF00FF" w:sz="0" w:space="0"/>
            <w:right w:val="single" w:color="FF00FF" w:sz="0" w:space="0"/>
            <w:insideH w:val="single" w:color="FF00FF" w:sz="0" w:space="0"/>
            <w:insideV w:val="single" w:color="FF00FF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63" w:type="pct"/>
            <w:tcMar>
              <w:left w:w="0" w:type="dxa"/>
              <w:right w:w="0" w:type="dxa"/>
            </w:tcMar>
            <w:vAlign w:val="center"/>
          </w:tcPr>
          <w:p w14:paraId="46C95566">
            <w:pPr>
              <w:overflowPunct w:val="0"/>
              <w:snapToGrid w:val="0"/>
              <w:spacing w:line="360" w:lineRule="auto"/>
              <w:jc w:val="center"/>
            </w:pPr>
            <w:r>
              <w:rPr>
                <w:rFonts w:eastAsia="楷体"/>
                <w:sz w:val="28"/>
                <w:szCs w:val="28"/>
              </w:rPr>
              <w:t>课堂小结</w:t>
            </w:r>
          </w:p>
        </w:tc>
        <w:tc>
          <w:tcPr>
            <w:tcW w:w="2777" w:type="pct"/>
            <w:tcMar>
              <w:left w:w="105" w:type="dxa"/>
              <w:right w:w="105" w:type="dxa"/>
            </w:tcMar>
            <w:vAlign w:val="center"/>
          </w:tcPr>
          <w:p w14:paraId="34DE160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长江禁渔整十年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江豚微笑跃浪尖。</w:t>
            </w:r>
          </w:p>
          <w:p w14:paraId="46FFDA91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水中熊猫频露面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生态修复成效显。</w:t>
            </w:r>
          </w:p>
          <w:p w14:paraId="6070C637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过度捕捞毁链条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水草疯长鱼虾少。</w:t>
            </w:r>
          </w:p>
          <w:p w14:paraId="6171082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生态系统若失衡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人类生存难自保。</w:t>
            </w:r>
          </w:p>
          <w:p w14:paraId="485236F4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绿水青山金不换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楼兰古国是前鉴。</w:t>
            </w:r>
          </w:p>
          <w:p w14:paraId="1512FB5F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生态安全非小事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关系国运与长远。</w:t>
            </w:r>
          </w:p>
          <w:p w14:paraId="14421EFE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黄河立法护周全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山水林田共相连。</w:t>
            </w:r>
          </w:p>
          <w:p w14:paraId="47ABA19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防沙治污齐发力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生命共同体相连。</w:t>
            </w:r>
          </w:p>
        </w:tc>
        <w:tc>
          <w:tcPr>
            <w:tcW w:w="1760" w:type="pct"/>
            <w:tcMar>
              <w:left w:w="105" w:type="dxa"/>
              <w:right w:w="105" w:type="dxa"/>
            </w:tcMar>
            <w:vAlign w:val="center"/>
          </w:tcPr>
          <w:p w14:paraId="1E62AA85">
            <w:pPr>
              <w:overflowPunct w:val="0"/>
              <w:snapToGrid w:val="0"/>
              <w:spacing w:line="360" w:lineRule="auto"/>
            </w:pPr>
            <w:r>
              <w:rPr>
                <w:rFonts w:eastAsia="楷体"/>
                <w:sz w:val="28"/>
                <w:szCs w:val="28"/>
              </w:rPr>
              <w:t>小组合作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总结本节课知识</w:t>
            </w:r>
            <w:r>
              <w:rPr>
                <w:rFonts w:ascii="宋体" w:hAnsi="宋体" w:eastAsia="宋体"/>
                <w:sz w:val="28"/>
                <w:szCs w:val="28"/>
              </w:rPr>
              <w:t>，</w:t>
            </w:r>
            <w:r>
              <w:rPr>
                <w:rFonts w:eastAsia="楷体"/>
                <w:sz w:val="28"/>
                <w:szCs w:val="28"/>
              </w:rPr>
              <w:t>绘制思维导图。</w:t>
            </w:r>
          </w:p>
        </w:tc>
      </w:tr>
    </w:tbl>
    <w:p w14:paraId="6377C77A">
      <w:pPr>
        <w:overflowPunct w:val="0"/>
        <w:snapToGrid w:val="0"/>
        <w:spacing w:line="360" w:lineRule="auto"/>
        <w:jc w:val="left"/>
        <w:rPr>
          <w:sz w:val="28"/>
          <w:szCs w:val="28"/>
        </w:rPr>
      </w:pPr>
    </w:p>
    <w:p w14:paraId="5AE7663F">
      <w:pPr>
        <w:overflowPunct w:val="0"/>
        <w:snapToGrid w:val="0"/>
        <w:spacing w:line="360" w:lineRule="auto"/>
        <w:jc w:val="left"/>
      </w:pPr>
      <w:r>
        <w:rPr>
          <w:sz w:val="28"/>
          <w:szCs w:val="28"/>
        </w:rPr>
        <w:drawing>
          <wp:inline distT="0" distB="0" distL="0" distR="0">
            <wp:extent cx="698500" cy="167640"/>
            <wp:effectExtent l="0" t="0" r="6350" b="3810"/>
            <wp:docPr id="142" name="板书设计.jpg" descr="id:21474882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板书设计.jpg" descr="id:2147488239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8747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4A7139">
      <w:pPr>
        <w:overflowPunct w:val="0"/>
        <w:snapToGrid w:val="0"/>
        <w:spacing w:line="360" w:lineRule="auto"/>
        <w:jc w:val="center"/>
      </w:pPr>
      <w:r>
        <w:rPr>
          <w:rFonts w:eastAsia="黑体"/>
          <w:sz w:val="28"/>
          <w:szCs w:val="28"/>
        </w:rPr>
        <w:t>第二节</w:t>
      </w:r>
      <w:r>
        <w:rPr>
          <w:rFonts w:ascii="Times New Roman" w:hAnsi="Times New Roman"/>
          <w:sz w:val="28"/>
          <w:szCs w:val="28"/>
        </w:rPr>
        <w:t>　</w:t>
      </w:r>
      <w:r>
        <w:rPr>
          <w:rFonts w:eastAsia="黑体"/>
          <w:sz w:val="28"/>
          <w:szCs w:val="28"/>
        </w:rPr>
        <w:t>维护生态安全</w:t>
      </w:r>
    </w:p>
    <w:p w14:paraId="14E69EF5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一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生态安全</w:t>
      </w:r>
    </w:p>
    <w:p w14:paraId="6E6CCB3B">
      <w:pPr>
        <w:overflowPunct w:val="0"/>
        <w:snapToGrid w:val="0"/>
        <w:spacing w:line="360" w:lineRule="auto"/>
      </w:pPr>
      <w:r>
        <w:rPr>
          <w:rFonts w:hint="eastAsia"/>
          <w:sz w:val="28"/>
          <w:szCs w:val="28"/>
        </w:rPr>
        <w:t>二</w:t>
      </w:r>
      <w:r>
        <w:rPr>
          <w:rFonts w:ascii="宋体" w:hAnsi="宋体" w:eastAsia="宋体"/>
          <w:sz w:val="28"/>
          <w:szCs w:val="28"/>
        </w:rPr>
        <w:t>、</w:t>
      </w:r>
      <w:r>
        <w:rPr>
          <w:rFonts w:hint="eastAsia"/>
          <w:sz w:val="28"/>
          <w:szCs w:val="28"/>
        </w:rPr>
        <w:t>维护生态安全的对策</w:t>
      </w:r>
      <w:r>
        <w:rPr>
          <w:rFonts w:ascii="宋体" w:hAnsi="宋体" w:eastAsia="宋体"/>
          <w:sz w:val="28"/>
          <w:szCs w:val="28"/>
        </w:rPr>
        <w:t>：</w:t>
      </w:r>
      <w:r>
        <w:rPr>
          <w:rFonts w:hint="eastAsia"/>
          <w:sz w:val="28"/>
          <w:szCs w:val="28"/>
        </w:rPr>
        <w:t>保护生物圈就是维护生态安全</w:t>
      </w:r>
    </w:p>
    <w:p w14:paraId="729621C6">
      <w:pPr>
        <w:overflowPunct w:val="0"/>
        <w:snapToGrid w:val="0"/>
        <w:spacing w:line="360" w:lineRule="auto"/>
        <w:jc w:val="left"/>
        <w:rPr>
          <w:rFonts w:hint="eastAsia"/>
        </w:rPr>
      </w:pPr>
      <w:r>
        <w:rPr>
          <w:sz w:val="28"/>
          <w:szCs w:val="28"/>
        </w:rPr>
        <w:drawing>
          <wp:inline distT="0" distB="0" distL="0" distR="0">
            <wp:extent cx="1173480" cy="225425"/>
            <wp:effectExtent l="0" t="0" r="7620" b="3175"/>
            <wp:docPr id="1" name="教学反思.jpg" descr="id:21474905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教学反思.jpg" descr="id:214749057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73712" cy="225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9A97E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9C22CD8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645764ED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</w:t>
      </w:r>
    </w:p>
    <w:p w14:paraId="3D696C97">
      <w:pPr>
        <w:overflowPunct w:val="0"/>
        <w:snapToGrid w:val="0"/>
        <w:spacing w:line="360" w:lineRule="auto"/>
        <w:rPr>
          <w:rFonts w:hint="default" w:eastAsia="宋体"/>
          <w:lang w:val="en-US" w:eastAsia="zh-CN"/>
        </w:rPr>
      </w:pPr>
      <w:r>
        <w:rPr>
          <w:color w:val="FEFEFE"/>
          <w:sz w:val="28"/>
          <w:szCs w:val="28"/>
          <w:u w:val="single" w:color="000000"/>
        </w:rPr>
        <w:t>　　　　　　</w:t>
      </w:r>
      <w:r>
        <w:rPr>
          <w:rFonts w:hint="eastAsia"/>
          <w:color w:val="FEFEFE"/>
          <w:sz w:val="28"/>
          <w:szCs w:val="28"/>
          <w:u w:val="single" w:color="000000"/>
          <w:lang w:val="en-US" w:eastAsia="zh-CN"/>
        </w:rPr>
        <w:t xml:space="preserve">                                                 </w:t>
      </w:r>
    </w:p>
    <w:p w14:paraId="7B263AC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54733F"/>
    <w:rsid w:val="03C1654A"/>
    <w:rsid w:val="18940A04"/>
    <w:rsid w:val="1A00533B"/>
    <w:rsid w:val="2D753526"/>
    <w:rsid w:val="3B9D5F38"/>
    <w:rsid w:val="48CA150E"/>
    <w:rsid w:val="4BE9017F"/>
    <w:rsid w:val="4E390A30"/>
    <w:rsid w:val="516A23D0"/>
    <w:rsid w:val="578B463E"/>
    <w:rsid w:val="5FBD227E"/>
    <w:rsid w:val="631A6CAE"/>
    <w:rsid w:val="688556BD"/>
    <w:rsid w:val="728C1DD8"/>
    <w:rsid w:val="7D6A7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spacing w:line="323" w:lineRule="exact"/>
    </w:pPr>
    <w:rPr>
      <w:rFonts w:ascii="Times New Roman" w:hAnsi="Times New Roman" w:eastAsia="宋体" w:cstheme="minorBidi"/>
      <w:color w:val="000000"/>
      <w:sz w:val="21"/>
      <w:szCs w:val="22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2024-05-31T08:31:00Z</dcterms:created>
  <dc:creator>Administrator</dc:creator>
  <cp:lastModifiedBy>理综组徐鑫</cp:lastModifiedBy>
  <dcterms:modified xsi:type="dcterms:W3CDTF">2025-08-16T03:05:56Z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61C92E3FF87F414AB3367487E33C4E9C_12</vt:lpwstr>
  </property>
  <property fmtid="{D5CDD505-2E9C-101B-9397-08002B2CF9AE}" pid="4" name="KSOTemplateDocerSaveRecord">
    <vt:lpwstr>eyJoZGlkIjoiMzIwNTNkZjAwMzZkNTE5OTRjOTBhMmJmMWFjNTc3ZjEiLCJ1c2VySWQiOiIyNDA4MTc1NjAifQ==</vt:lpwstr>
  </property>
</Properties>
</file>